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AA877" w14:textId="69E07533" w:rsidR="00E85D32" w:rsidRPr="00E066AA" w:rsidRDefault="00601B35" w:rsidP="00E170BB">
      <w:pPr>
        <w:spacing w:after="0" w:line="240" w:lineRule="auto"/>
        <w:jc w:val="right"/>
        <w:rPr>
          <w:lang w:val="en-US"/>
        </w:rPr>
      </w:pPr>
      <w:r>
        <w:rPr>
          <w:lang w:val="en-US"/>
        </w:rPr>
        <w:t>11.10.2024</w:t>
      </w:r>
    </w:p>
    <w:p w14:paraId="25005819" w14:textId="77777777" w:rsidR="00D64D9E" w:rsidRPr="00E066AA" w:rsidRDefault="00D64D9E" w:rsidP="00D64D9E">
      <w:pPr>
        <w:spacing w:after="0" w:line="240" w:lineRule="auto"/>
        <w:rPr>
          <w:lang w:val="en-US"/>
        </w:rPr>
      </w:pPr>
    </w:p>
    <w:p w14:paraId="21A097E1" w14:textId="77777777" w:rsidR="00601B35" w:rsidRPr="00601B35" w:rsidRDefault="00601B35" w:rsidP="00601B35">
      <w:pPr>
        <w:rPr>
          <w:rFonts w:ascii="Aptos" w:eastAsia="Aptos" w:hAnsi="Aptos" w:cs="Times New Roman"/>
          <w:b/>
          <w:bCs/>
          <w:kern w:val="2"/>
          <w14:ligatures w14:val="standardContextual"/>
        </w:rPr>
      </w:pPr>
      <w:r w:rsidRPr="00601B35">
        <w:rPr>
          <w:rFonts w:ascii="Aptos" w:eastAsia="Aptos" w:hAnsi="Aptos" w:cs="Times New Roman"/>
          <w:b/>
          <w:bCs/>
          <w:kern w:val="2"/>
          <w14:ligatures w14:val="standardContextual"/>
        </w:rPr>
        <w:t>REGUPOL und das Johannes-</w:t>
      </w:r>
      <w:proofErr w:type="spellStart"/>
      <w:r w:rsidRPr="00601B35">
        <w:rPr>
          <w:rFonts w:ascii="Aptos" w:eastAsia="Aptos" w:hAnsi="Aptos" w:cs="Times New Roman"/>
          <w:b/>
          <w:bCs/>
          <w:kern w:val="2"/>
          <w14:ligatures w14:val="standardContextual"/>
        </w:rPr>
        <w:t>Althusius</w:t>
      </w:r>
      <w:proofErr w:type="spellEnd"/>
      <w:r w:rsidRPr="00601B35">
        <w:rPr>
          <w:rFonts w:ascii="Aptos" w:eastAsia="Aptos" w:hAnsi="Aptos" w:cs="Times New Roman"/>
          <w:b/>
          <w:bCs/>
          <w:kern w:val="2"/>
          <w14:ligatures w14:val="standardContextual"/>
        </w:rPr>
        <w:t>-Gymnasium in Bad Berleburg vertiefen ihre Zusammenarbeit für praxisnahe Berufsorientierung</w:t>
      </w:r>
    </w:p>
    <w:p w14:paraId="3142BCD4" w14:textId="77777777" w:rsidR="00E170BB" w:rsidRPr="00601B35" w:rsidRDefault="00E170BB" w:rsidP="00E170BB">
      <w:pPr>
        <w:spacing w:after="0" w:line="240" w:lineRule="auto"/>
        <w:rPr>
          <w:rFonts w:cstheme="minorHAnsi"/>
          <w:color w:val="26282D"/>
        </w:rPr>
      </w:pPr>
    </w:p>
    <w:p w14:paraId="7144C41E" w14:textId="77777777" w:rsidR="00601B35" w:rsidRPr="00601B35" w:rsidRDefault="00601B35" w:rsidP="00601B35">
      <w:pPr>
        <w:spacing w:after="0" w:line="240" w:lineRule="auto"/>
        <w:rPr>
          <w:rFonts w:cstheme="minorHAnsi"/>
          <w:b/>
          <w:bCs/>
          <w:color w:val="26282D"/>
        </w:rPr>
      </w:pPr>
      <w:r w:rsidRPr="00601B35">
        <w:rPr>
          <w:rFonts w:cstheme="minorHAnsi"/>
          <w:b/>
          <w:bCs/>
          <w:color w:val="26282D"/>
          <w:lang w:val="en-US"/>
        </w:rPr>
        <w:t xml:space="preserve">Die REGUPOL Germany GmbH &amp; Co. </w:t>
      </w:r>
      <w:r w:rsidRPr="00601B35">
        <w:rPr>
          <w:rFonts w:cstheme="minorHAnsi"/>
          <w:b/>
          <w:bCs/>
          <w:color w:val="26282D"/>
        </w:rPr>
        <w:t>KG geht eine langfristige Bildungspartnerschaft mit dem Johannes-</w:t>
      </w:r>
      <w:proofErr w:type="spellStart"/>
      <w:r w:rsidRPr="00601B35">
        <w:rPr>
          <w:rFonts w:cstheme="minorHAnsi"/>
          <w:b/>
          <w:bCs/>
          <w:color w:val="26282D"/>
        </w:rPr>
        <w:t>Althusius</w:t>
      </w:r>
      <w:proofErr w:type="spellEnd"/>
      <w:r w:rsidRPr="00601B35">
        <w:rPr>
          <w:rFonts w:cstheme="minorHAnsi"/>
          <w:b/>
          <w:bCs/>
          <w:color w:val="26282D"/>
        </w:rPr>
        <w:t>-Gymnasium in Bad Berleburg ein. Diese Kooperation zielt darauf ab, jungen Menschen praxisorientierte Einblicke in die Arbeitswelt zu bieten und sie besser auf den Einstieg in die Berufswelt vorzubereiten. Dabei spielt besonders die frühzeitige Berufsorientierung eine zentrale Rolle, um Talente zu entdecken und zu fördern.</w:t>
      </w:r>
    </w:p>
    <w:p w14:paraId="597F5563" w14:textId="77777777" w:rsidR="00E170BB" w:rsidRPr="00601B35" w:rsidRDefault="00E170BB" w:rsidP="00E170BB">
      <w:pPr>
        <w:spacing w:after="0" w:line="240" w:lineRule="auto"/>
        <w:rPr>
          <w:rFonts w:cstheme="minorHAnsi"/>
          <w:color w:val="26282D"/>
        </w:rPr>
      </w:pPr>
    </w:p>
    <w:p w14:paraId="5B74F268" w14:textId="77777777" w:rsidR="00601B35" w:rsidRPr="00601B35" w:rsidRDefault="00601B35" w:rsidP="00601B35">
      <w:pPr>
        <w:spacing w:after="0" w:line="240" w:lineRule="auto"/>
        <w:rPr>
          <w:rFonts w:cstheme="minorHAnsi"/>
          <w:color w:val="26282D"/>
        </w:rPr>
      </w:pPr>
      <w:r w:rsidRPr="00601B35">
        <w:rPr>
          <w:rFonts w:cstheme="minorHAnsi"/>
          <w:color w:val="26282D"/>
        </w:rPr>
        <w:t>In einer zunehmend digitalisierten und spezialisierten Arbeitswelt wird es immer wichtiger, Schülerinnen und Schüler frühzeitig auf die Anforderungen der Berufswelt vorzubereiten. Diese Zusammenarbeit ermöglicht es den Schülerinnen und Schülern, nicht nur verschiedene Berufsfelder kennenzulernen, sondern auch aktiv an der Gestaltung ihrer beruflichen Zukunft mitzuwirken.</w:t>
      </w:r>
    </w:p>
    <w:p w14:paraId="308454AE" w14:textId="77777777" w:rsidR="00601B35" w:rsidRPr="00601B35" w:rsidRDefault="00601B35" w:rsidP="00601B35">
      <w:pPr>
        <w:spacing w:after="0" w:line="240" w:lineRule="auto"/>
        <w:rPr>
          <w:rFonts w:cstheme="minorHAnsi"/>
          <w:color w:val="26282D"/>
        </w:rPr>
      </w:pPr>
    </w:p>
    <w:p w14:paraId="5FB159F8" w14:textId="77777777" w:rsidR="00601B35" w:rsidRPr="00601B35" w:rsidRDefault="00601B35" w:rsidP="00601B35">
      <w:pPr>
        <w:spacing w:after="0" w:line="240" w:lineRule="auto"/>
        <w:rPr>
          <w:rFonts w:cstheme="minorHAnsi"/>
          <w:b/>
          <w:bCs/>
          <w:color w:val="26282D"/>
        </w:rPr>
      </w:pPr>
      <w:r w:rsidRPr="00601B35">
        <w:rPr>
          <w:rFonts w:cstheme="minorHAnsi"/>
          <w:b/>
          <w:bCs/>
          <w:color w:val="26282D"/>
        </w:rPr>
        <w:t>Individuelle Förderung und Stärkung der Region</w:t>
      </w:r>
    </w:p>
    <w:p w14:paraId="31D5793A" w14:textId="77777777" w:rsidR="00601B35" w:rsidRDefault="00601B35" w:rsidP="00601B35">
      <w:pPr>
        <w:spacing w:after="0" w:line="240" w:lineRule="auto"/>
        <w:rPr>
          <w:rFonts w:cstheme="minorHAnsi"/>
          <w:color w:val="26282D"/>
        </w:rPr>
      </w:pPr>
      <w:r w:rsidRPr="00601B35">
        <w:rPr>
          <w:rFonts w:cstheme="minorHAnsi"/>
          <w:color w:val="26282D"/>
        </w:rPr>
        <w:t>Im Rahmen der Partnerschaft sind zahlreiche Maßnahmen geplant, um den Schülerinnen und Schülern praxisnahe und langfristige Perspektiven zu bieten.</w:t>
      </w:r>
    </w:p>
    <w:p w14:paraId="6623087F" w14:textId="77777777" w:rsidR="00601B35" w:rsidRPr="00601B35" w:rsidRDefault="00601B35" w:rsidP="00601B35">
      <w:pPr>
        <w:spacing w:after="0" w:line="240" w:lineRule="auto"/>
        <w:rPr>
          <w:rFonts w:cstheme="minorHAnsi"/>
          <w:color w:val="26282D"/>
        </w:rPr>
      </w:pPr>
    </w:p>
    <w:p w14:paraId="38512516" w14:textId="1097DAAA" w:rsidR="00601B35" w:rsidRPr="00601B35" w:rsidRDefault="00601B35" w:rsidP="00601B35">
      <w:pPr>
        <w:spacing w:after="0" w:line="240" w:lineRule="auto"/>
        <w:rPr>
          <w:rFonts w:cstheme="minorHAnsi"/>
          <w:color w:val="26282D"/>
        </w:rPr>
      </w:pPr>
      <w:r w:rsidRPr="00601B35">
        <w:rPr>
          <w:rFonts w:cstheme="minorHAnsi"/>
          <w:b/>
          <w:bCs/>
          <w:color w:val="26282D"/>
        </w:rPr>
        <w:t>REGUPOL</w:t>
      </w:r>
      <w:r w:rsidRPr="00601B35">
        <w:rPr>
          <w:rFonts w:cstheme="minorHAnsi"/>
          <w:color w:val="26282D"/>
        </w:rPr>
        <w:t xml:space="preserve"> bietet Schülerinnen und Schülern die Möglichkeit, sich durch Berufsorientierungsveranstaltungen, spezielle Praktika und eine praxisnahe Unterrichtsgestaltung intensiver auf eine mögliche Ausbildung oder ein duales Studium vorzubereiten und den richtigen Berufseinstieg zu finden. Auf diese Weise können sie nicht nur ihre Fähigkeiten in einem professionellen Umfeld erproben, sondern auch frühzeitig wertvolle Kontakte in der Berufswelt knüpfen.</w:t>
      </w:r>
      <w:r>
        <w:rPr>
          <w:rFonts w:cstheme="minorHAnsi"/>
          <w:color w:val="26282D"/>
        </w:rPr>
        <w:br/>
      </w:r>
    </w:p>
    <w:p w14:paraId="26DD1A67" w14:textId="77777777" w:rsidR="00601B35" w:rsidRDefault="00601B35" w:rsidP="00601B35">
      <w:pPr>
        <w:spacing w:after="0" w:line="240" w:lineRule="auto"/>
        <w:rPr>
          <w:rFonts w:cstheme="minorHAnsi"/>
          <w:b/>
          <w:bCs/>
          <w:color w:val="26282D"/>
        </w:rPr>
      </w:pPr>
      <w:r w:rsidRPr="00601B35">
        <w:rPr>
          <w:rFonts w:cstheme="minorHAnsi"/>
          <w:color w:val="26282D"/>
        </w:rPr>
        <w:t xml:space="preserve">„Wir möchten jungen Menschen zeigen, dass sie in unserer Region vielfältige und spannende berufliche Möglichkeiten haben. Mit dieser Partnerschaft möchten wir uns nicht nur als attraktiver Arbeitgeber präsentieren, sondern auch Orientierung bieten und die Schülerinnen und Schüler in ihrer beruflichen Entwicklung unterstützen“, so Lisa Afflerbach, Ausbildungsleiterin bei </w:t>
      </w:r>
      <w:r w:rsidRPr="00601B35">
        <w:rPr>
          <w:rFonts w:cstheme="minorHAnsi"/>
          <w:b/>
          <w:bCs/>
          <w:color w:val="26282D"/>
        </w:rPr>
        <w:t>REGUPOL.</w:t>
      </w:r>
    </w:p>
    <w:p w14:paraId="6FA2865E" w14:textId="77777777" w:rsidR="00601B35" w:rsidRPr="00601B35" w:rsidRDefault="00601B35" w:rsidP="00601B35">
      <w:pPr>
        <w:spacing w:after="0" w:line="240" w:lineRule="auto"/>
        <w:rPr>
          <w:rFonts w:cstheme="minorHAnsi"/>
          <w:color w:val="26282D"/>
        </w:rPr>
      </w:pPr>
    </w:p>
    <w:p w14:paraId="0B4AB7AA" w14:textId="77777777" w:rsidR="00601B35" w:rsidRPr="00601B35" w:rsidRDefault="00601B35" w:rsidP="00601B35">
      <w:pPr>
        <w:spacing w:after="0" w:line="240" w:lineRule="auto"/>
        <w:rPr>
          <w:rFonts w:cstheme="minorHAnsi"/>
          <w:color w:val="26282D"/>
        </w:rPr>
      </w:pPr>
      <w:r w:rsidRPr="00601B35">
        <w:rPr>
          <w:rFonts w:cstheme="minorHAnsi"/>
          <w:color w:val="26282D"/>
        </w:rPr>
        <w:t>Die Kooperation soll langfristig angelegt sein und regelmäßig überprüft sowie weiterentwickelt werden. Dadurch wird sichergestellt, dass die Maßnahmen stets den aktuellen Bedürfnissen der Schüler und den Anforderungen des Arbeitsmarktes entsprechen. „Für uns ist es wichtig, dass diese Partnerschaft nicht statisch bleibt, sondern sich mit den Herausforderungen der Zeit entwickelt. Nur so können wir gewährleisten, dass die Schülerinnen und Schüler optimal auf ihre berufliche Zukunft vorbereitet werden,“ fügt Lisa Afflerbach hinzu.</w:t>
      </w:r>
    </w:p>
    <w:p w14:paraId="4C74AADB" w14:textId="77777777" w:rsidR="00601B35" w:rsidRPr="00601B35" w:rsidRDefault="00601B35" w:rsidP="00601B35">
      <w:pPr>
        <w:spacing w:after="0" w:line="240" w:lineRule="auto"/>
        <w:rPr>
          <w:rFonts w:cstheme="minorHAnsi"/>
          <w:color w:val="26282D"/>
        </w:rPr>
      </w:pPr>
    </w:p>
    <w:p w14:paraId="32CB72F2" w14:textId="77777777" w:rsidR="00601B35" w:rsidRPr="00601B35" w:rsidRDefault="00601B35" w:rsidP="00601B35">
      <w:pPr>
        <w:spacing w:after="0" w:line="240" w:lineRule="auto"/>
        <w:rPr>
          <w:rFonts w:cstheme="minorHAnsi"/>
          <w:b/>
          <w:bCs/>
          <w:color w:val="26282D"/>
        </w:rPr>
      </w:pPr>
      <w:r w:rsidRPr="00601B35">
        <w:rPr>
          <w:rFonts w:cstheme="minorHAnsi"/>
          <w:b/>
          <w:bCs/>
          <w:color w:val="26282D"/>
        </w:rPr>
        <w:t>Gewinn für alle Beteiligten</w:t>
      </w:r>
    </w:p>
    <w:p w14:paraId="42056A28" w14:textId="77777777" w:rsidR="00601B35" w:rsidRDefault="00601B35" w:rsidP="00601B35">
      <w:pPr>
        <w:spacing w:after="0" w:line="240" w:lineRule="auto"/>
        <w:rPr>
          <w:rFonts w:cstheme="minorHAnsi"/>
          <w:color w:val="26282D"/>
        </w:rPr>
      </w:pPr>
      <w:r w:rsidRPr="00601B35">
        <w:rPr>
          <w:rFonts w:cstheme="minorHAnsi"/>
          <w:color w:val="26282D"/>
        </w:rPr>
        <w:t>Die Vorteile dieser Partnerschaft sind vielfältig: Die Schülerinnen und Schüler gewinnen durch die praktischen Erfahrungen an Berufswahlkompetenz und können besser einschätzen, welche beruflichen Wege ihnen offenstehen. Für das Gymnasium bedeutet die Kooperation eine Bereicherung des Unterrichts durch praxisnahe Elemente, die den Bezug zur realen Arbeitswelt herstellen.</w:t>
      </w:r>
      <w:r w:rsidRPr="00601B35">
        <w:rPr>
          <w:rFonts w:cstheme="minorHAnsi"/>
          <w:b/>
          <w:bCs/>
          <w:color w:val="26282D"/>
        </w:rPr>
        <w:t xml:space="preserve"> REGUPOL</w:t>
      </w:r>
      <w:r w:rsidRPr="00601B35">
        <w:rPr>
          <w:rFonts w:cstheme="minorHAnsi"/>
          <w:color w:val="26282D"/>
        </w:rPr>
        <w:t xml:space="preserve"> profitiert wiederum von einem direkten Zugang zu potenziellen Nachwuchskräften, die bereits frühzeitig das Unternehmen kennenlernen und sich für eine Ausbildung oder ein duales Studium entscheiden können.</w:t>
      </w:r>
    </w:p>
    <w:p w14:paraId="130CCD11" w14:textId="77777777" w:rsidR="00601B35" w:rsidRPr="00601B35" w:rsidRDefault="00601B35" w:rsidP="00601B35">
      <w:pPr>
        <w:spacing w:after="0" w:line="240" w:lineRule="auto"/>
        <w:rPr>
          <w:rFonts w:cstheme="minorHAnsi"/>
          <w:color w:val="26282D"/>
        </w:rPr>
      </w:pPr>
    </w:p>
    <w:p w14:paraId="2B7C4B55" w14:textId="64C65BDE" w:rsidR="007269D3" w:rsidRDefault="00601B35" w:rsidP="00601B35">
      <w:pPr>
        <w:spacing w:after="0" w:line="240" w:lineRule="auto"/>
        <w:rPr>
          <w:rFonts w:cstheme="minorHAnsi"/>
          <w:color w:val="26282D"/>
          <w:lang w:val="fr-FR"/>
        </w:rPr>
      </w:pPr>
      <w:r w:rsidRPr="00601B35">
        <w:rPr>
          <w:rFonts w:cstheme="minorHAnsi"/>
          <w:color w:val="26282D"/>
        </w:rPr>
        <w:lastRenderedPageBreak/>
        <w:t xml:space="preserve">Diese Bildungskooperation zeigt, wie wichtig es ist, dass Unternehmen und Schulen zusammenarbeiten, um die Fachkräfte von morgen zu fördern. </w:t>
      </w:r>
      <w:r w:rsidRPr="00601B35">
        <w:rPr>
          <w:rFonts w:cstheme="minorHAnsi"/>
          <w:b/>
          <w:bCs/>
          <w:color w:val="26282D"/>
        </w:rPr>
        <w:t>REGUPOL</w:t>
      </w:r>
      <w:r w:rsidRPr="00601B35">
        <w:rPr>
          <w:rFonts w:cstheme="minorHAnsi"/>
          <w:color w:val="26282D"/>
        </w:rPr>
        <w:t xml:space="preserve"> und das Johannes-</w:t>
      </w:r>
      <w:proofErr w:type="spellStart"/>
      <w:r w:rsidRPr="00601B35">
        <w:rPr>
          <w:rFonts w:cstheme="minorHAnsi"/>
          <w:color w:val="26282D"/>
        </w:rPr>
        <w:t>Althusius</w:t>
      </w:r>
      <w:proofErr w:type="spellEnd"/>
      <w:r w:rsidRPr="00601B35">
        <w:rPr>
          <w:rFonts w:cstheme="minorHAnsi"/>
          <w:color w:val="26282D"/>
        </w:rPr>
        <w:t>-Gymnasium setzen mit dieser Partnerschaft ein starkes Zeichen für die Zukunft und für die Stärkung des Bildungsstandorts Bad Berleburg.</w:t>
      </w:r>
    </w:p>
    <w:p w14:paraId="59D0EC4E" w14:textId="5A62C023" w:rsidR="007269D3" w:rsidRDefault="007269D3" w:rsidP="007269D3">
      <w:pPr>
        <w:spacing w:after="0" w:line="240" w:lineRule="auto"/>
        <w:rPr>
          <w:rFonts w:cstheme="minorHAnsi"/>
          <w:color w:val="26282D"/>
          <w:lang w:val="fr-FR"/>
        </w:rPr>
      </w:pPr>
    </w:p>
    <w:p w14:paraId="16023457" w14:textId="77777777" w:rsidR="007269D3" w:rsidRPr="007B6828" w:rsidRDefault="007269D3" w:rsidP="00E170BB">
      <w:pPr>
        <w:spacing w:after="0" w:line="240" w:lineRule="auto"/>
        <w:rPr>
          <w:b/>
          <w:bCs/>
          <w:color w:val="26282D"/>
          <w:lang w:val="fr-FR"/>
        </w:rPr>
      </w:pPr>
    </w:p>
    <w:p w14:paraId="303AC481" w14:textId="58F226BC" w:rsidR="000A32D0" w:rsidRPr="007B6828" w:rsidRDefault="00601B35" w:rsidP="00E170BB">
      <w:pPr>
        <w:spacing w:after="0" w:line="240" w:lineRule="auto"/>
        <w:rPr>
          <w:b/>
          <w:bCs/>
          <w:color w:val="26282D"/>
          <w:sz w:val="18"/>
          <w:szCs w:val="18"/>
        </w:rPr>
      </w:pPr>
      <w:r>
        <w:rPr>
          <w:b/>
          <w:bCs/>
          <w:color w:val="26282D"/>
          <w:sz w:val="18"/>
          <w:szCs w:val="18"/>
        </w:rPr>
        <w:t>3.411</w:t>
      </w:r>
      <w:r w:rsidR="00E85D32" w:rsidRPr="007B6828">
        <w:rPr>
          <w:b/>
          <w:bCs/>
          <w:color w:val="26282D"/>
          <w:sz w:val="18"/>
          <w:szCs w:val="18"/>
        </w:rPr>
        <w:t xml:space="preserve"> Zeichen inklusive Leerzeichen und Überschriften</w:t>
      </w:r>
    </w:p>
    <w:p w14:paraId="1DE4AC1A" w14:textId="2778608A" w:rsidR="00E85D32" w:rsidRPr="007B6828" w:rsidRDefault="00E85D32" w:rsidP="00E170BB">
      <w:pPr>
        <w:spacing w:after="0" w:line="240" w:lineRule="auto"/>
        <w:rPr>
          <w:b/>
          <w:bCs/>
          <w:color w:val="26282D"/>
          <w:sz w:val="18"/>
          <w:szCs w:val="18"/>
        </w:rPr>
      </w:pPr>
      <w:r w:rsidRPr="007B6828">
        <w:rPr>
          <w:b/>
          <w:bCs/>
          <w:color w:val="26282D"/>
          <w:sz w:val="18"/>
          <w:szCs w:val="18"/>
        </w:rPr>
        <w:t xml:space="preserve">Bitte beachten Sie: </w:t>
      </w:r>
      <w:r w:rsidRPr="007269D3">
        <w:rPr>
          <w:color w:val="26282D"/>
          <w:sz w:val="18"/>
          <w:szCs w:val="18"/>
        </w:rPr>
        <w:t xml:space="preserve">Diesen Text und entsprechendes Bildmaterial finden Sie auch im Pressebereich auf unserer Website: </w:t>
      </w:r>
      <w:hyperlink r:id="rId8" w:history="1">
        <w:r w:rsidR="00BC6342" w:rsidRPr="00387EB8">
          <w:rPr>
            <w:rStyle w:val="Hyperlink"/>
            <w:sz w:val="18"/>
            <w:szCs w:val="18"/>
          </w:rPr>
          <w:t>https://news.regupol.de/</w:t>
        </w:r>
      </w:hyperlink>
      <w:r w:rsidR="00BC6342">
        <w:rPr>
          <w:color w:val="26282D"/>
          <w:sz w:val="18"/>
          <w:szCs w:val="18"/>
        </w:rPr>
        <w:t xml:space="preserve"> </w:t>
      </w:r>
    </w:p>
    <w:p w14:paraId="40905B9B" w14:textId="2AA54B55" w:rsidR="00E85D32" w:rsidRPr="00E066AA" w:rsidRDefault="00E85D32" w:rsidP="00E170BB">
      <w:pPr>
        <w:spacing w:after="0" w:line="240" w:lineRule="auto"/>
        <w:rPr>
          <w:rFonts w:cstheme="minorHAnsi"/>
          <w:color w:val="26282D"/>
          <w:sz w:val="18"/>
          <w:szCs w:val="18"/>
        </w:rPr>
      </w:pPr>
      <w:proofErr w:type="spellStart"/>
      <w:r w:rsidRPr="00E066AA">
        <w:rPr>
          <w:rFonts w:cstheme="minorHAnsi"/>
          <w:b/>
          <w:bCs/>
          <w:color w:val="26282D"/>
          <w:sz w:val="18"/>
          <w:szCs w:val="18"/>
          <w:lang w:val="en-US"/>
        </w:rPr>
        <w:t>Ansprechpartner</w:t>
      </w:r>
      <w:proofErr w:type="spellEnd"/>
      <w:r w:rsidRPr="00E066AA">
        <w:rPr>
          <w:rFonts w:cstheme="minorHAnsi"/>
          <w:b/>
          <w:bCs/>
          <w:color w:val="26282D"/>
          <w:sz w:val="18"/>
          <w:szCs w:val="18"/>
          <w:lang w:val="en-US"/>
        </w:rPr>
        <w:t>: REGUPOL</w:t>
      </w:r>
      <w:r w:rsidR="00E066AA" w:rsidRPr="00E066AA">
        <w:rPr>
          <w:rFonts w:cstheme="minorHAnsi"/>
          <w:b/>
          <w:bCs/>
          <w:color w:val="26282D"/>
          <w:sz w:val="18"/>
          <w:szCs w:val="18"/>
          <w:lang w:val="en-US"/>
        </w:rPr>
        <w:t xml:space="preserve"> Germany</w:t>
      </w:r>
      <w:r w:rsidRPr="00E066AA">
        <w:rPr>
          <w:rFonts w:cstheme="minorHAnsi"/>
          <w:b/>
          <w:bCs/>
          <w:color w:val="26282D"/>
          <w:sz w:val="18"/>
          <w:szCs w:val="18"/>
          <w:lang w:val="en-US"/>
        </w:rPr>
        <w:t xml:space="preserve"> GmbH</w:t>
      </w:r>
      <w:r w:rsidR="00E066AA" w:rsidRPr="00E066AA">
        <w:rPr>
          <w:rFonts w:cstheme="minorHAnsi"/>
          <w:b/>
          <w:bCs/>
          <w:color w:val="26282D"/>
          <w:sz w:val="18"/>
          <w:szCs w:val="18"/>
          <w:lang w:val="en-US"/>
        </w:rPr>
        <w:t xml:space="preserve"> &amp; Co.</w:t>
      </w:r>
      <w:r w:rsidR="00E066AA">
        <w:rPr>
          <w:rFonts w:cstheme="minorHAnsi"/>
          <w:b/>
          <w:bCs/>
          <w:color w:val="26282D"/>
          <w:sz w:val="18"/>
          <w:szCs w:val="18"/>
          <w:lang w:val="en-US"/>
        </w:rPr>
        <w:t xml:space="preserve"> </w:t>
      </w:r>
      <w:r w:rsidR="00E066AA" w:rsidRPr="00E066AA">
        <w:rPr>
          <w:rFonts w:cstheme="minorHAnsi"/>
          <w:b/>
          <w:bCs/>
          <w:color w:val="26282D"/>
          <w:sz w:val="18"/>
          <w:szCs w:val="18"/>
        </w:rPr>
        <w:t>KG</w:t>
      </w:r>
      <w:r w:rsidR="000A32D0" w:rsidRPr="00E066AA">
        <w:rPr>
          <w:rFonts w:cstheme="minorHAnsi"/>
          <w:color w:val="26282D"/>
          <w:sz w:val="18"/>
          <w:szCs w:val="18"/>
        </w:rPr>
        <w:t xml:space="preserve"> | </w:t>
      </w:r>
      <w:r w:rsidR="00601B35">
        <w:rPr>
          <w:rFonts w:cstheme="minorHAnsi"/>
          <w:color w:val="26282D"/>
          <w:sz w:val="18"/>
          <w:szCs w:val="18"/>
        </w:rPr>
        <w:t>Lisa Afflerbach</w:t>
      </w:r>
      <w:r w:rsidR="000A32D0" w:rsidRPr="00E066AA">
        <w:rPr>
          <w:rFonts w:cstheme="minorHAnsi"/>
          <w:color w:val="26282D"/>
          <w:sz w:val="18"/>
          <w:szCs w:val="18"/>
        </w:rPr>
        <w:t xml:space="preserve"> | </w:t>
      </w:r>
      <w:r w:rsidRPr="00E066AA">
        <w:rPr>
          <w:rFonts w:cstheme="minorHAnsi"/>
          <w:color w:val="26282D"/>
          <w:sz w:val="18"/>
          <w:szCs w:val="18"/>
        </w:rPr>
        <w:t>Telefon: +49 2751 803-</w:t>
      </w:r>
      <w:r w:rsidR="00601B35">
        <w:rPr>
          <w:rFonts w:cstheme="minorHAnsi"/>
          <w:color w:val="26282D"/>
          <w:sz w:val="18"/>
          <w:szCs w:val="18"/>
        </w:rPr>
        <w:t>271</w:t>
      </w:r>
      <w:r w:rsidR="000A32D0" w:rsidRPr="00E066AA">
        <w:rPr>
          <w:rFonts w:cstheme="minorHAnsi"/>
          <w:color w:val="26282D"/>
          <w:sz w:val="18"/>
          <w:szCs w:val="18"/>
        </w:rPr>
        <w:t xml:space="preserve"> | </w:t>
      </w:r>
      <w:r w:rsidR="00601B35">
        <w:rPr>
          <w:rFonts w:cstheme="minorHAnsi"/>
          <w:color w:val="26282D"/>
          <w:sz w:val="18"/>
          <w:szCs w:val="18"/>
        </w:rPr>
        <w:t>li.afflerbach</w:t>
      </w:r>
      <w:r w:rsidRPr="00E066AA">
        <w:rPr>
          <w:rFonts w:cstheme="minorHAnsi"/>
          <w:color w:val="26282D"/>
          <w:sz w:val="18"/>
          <w:szCs w:val="18"/>
        </w:rPr>
        <w:t>@regupol.de</w:t>
      </w:r>
    </w:p>
    <w:p w14:paraId="3EF536C9" w14:textId="02BDE8A3" w:rsidR="00E85D32" w:rsidRPr="00E066AA" w:rsidRDefault="00E85D32" w:rsidP="00E170BB">
      <w:pPr>
        <w:spacing w:after="0" w:line="240" w:lineRule="auto"/>
        <w:rPr>
          <w:rFonts w:cstheme="minorHAnsi"/>
          <w:color w:val="26282D"/>
        </w:rPr>
      </w:pPr>
    </w:p>
    <w:p w14:paraId="3744B3DD" w14:textId="4F0993CA" w:rsidR="00E85D32" w:rsidRPr="001669A4" w:rsidRDefault="00E170BB" w:rsidP="00E170BB">
      <w:pPr>
        <w:spacing w:after="0" w:line="240" w:lineRule="auto"/>
        <w:rPr>
          <w:b/>
          <w:bCs/>
          <w:color w:val="26282D"/>
          <w:sz w:val="18"/>
          <w:szCs w:val="18"/>
        </w:rPr>
      </w:pPr>
      <w:proofErr w:type="spellStart"/>
      <w:r w:rsidRPr="00E066AA">
        <w:rPr>
          <w:b/>
          <w:bCs/>
          <w:color w:val="26282D"/>
          <w:sz w:val="18"/>
          <w:szCs w:val="18"/>
          <w:lang w:val="en-US"/>
        </w:rPr>
        <w:t>Ü</w:t>
      </w:r>
      <w:r w:rsidR="00E85D32" w:rsidRPr="00E066AA">
        <w:rPr>
          <w:b/>
          <w:bCs/>
          <w:color w:val="26282D"/>
          <w:sz w:val="18"/>
          <w:szCs w:val="18"/>
          <w:lang w:val="en-US"/>
        </w:rPr>
        <w:t>ber</w:t>
      </w:r>
      <w:proofErr w:type="spellEnd"/>
      <w:r w:rsidR="00E85D32" w:rsidRPr="00E066AA">
        <w:rPr>
          <w:b/>
          <w:bCs/>
          <w:color w:val="26282D"/>
          <w:sz w:val="18"/>
          <w:szCs w:val="18"/>
          <w:lang w:val="en-US"/>
        </w:rPr>
        <w:t xml:space="preserve"> </w:t>
      </w:r>
      <w:r w:rsidR="00E066AA" w:rsidRPr="00E066AA">
        <w:rPr>
          <w:rFonts w:cstheme="minorHAnsi"/>
          <w:b/>
          <w:bCs/>
          <w:color w:val="26282D"/>
          <w:sz w:val="18"/>
          <w:szCs w:val="18"/>
          <w:lang w:val="en-US"/>
        </w:rPr>
        <w:t>REGUPOL Germany GmbH &amp; Co.</w:t>
      </w:r>
      <w:r w:rsidR="00E066AA">
        <w:rPr>
          <w:rFonts w:cstheme="minorHAnsi"/>
          <w:b/>
          <w:bCs/>
          <w:color w:val="26282D"/>
          <w:sz w:val="18"/>
          <w:szCs w:val="18"/>
          <w:lang w:val="en-US"/>
        </w:rPr>
        <w:t xml:space="preserve"> </w:t>
      </w:r>
      <w:r w:rsidR="00E066AA" w:rsidRPr="00E066AA">
        <w:rPr>
          <w:rFonts w:cstheme="minorHAnsi"/>
          <w:b/>
          <w:bCs/>
          <w:color w:val="26282D"/>
          <w:sz w:val="18"/>
          <w:szCs w:val="18"/>
        </w:rPr>
        <w:t>KG</w:t>
      </w:r>
    </w:p>
    <w:p w14:paraId="285611C5" w14:textId="7FAF4000" w:rsidR="00E85D32" w:rsidRPr="007269D3" w:rsidRDefault="00E85D32" w:rsidP="00E170BB">
      <w:pPr>
        <w:spacing w:after="0" w:line="240" w:lineRule="auto"/>
        <w:rPr>
          <w:sz w:val="18"/>
          <w:szCs w:val="18"/>
        </w:rPr>
      </w:pPr>
      <w:bookmarkStart w:id="0" w:name="_Hlk130893176"/>
      <w:r w:rsidRPr="007269D3">
        <w:rPr>
          <w:b/>
          <w:bCs/>
          <w:sz w:val="18"/>
          <w:szCs w:val="18"/>
        </w:rPr>
        <w:t xml:space="preserve">REGUPOL </w:t>
      </w:r>
      <w:r w:rsidRPr="007269D3">
        <w:rPr>
          <w:sz w:val="18"/>
          <w:szCs w:val="18"/>
        </w:rPr>
        <w:t xml:space="preserve">zählt zu den weltweit führenden Verarbeitern von wiedergewonnenen Elastomeren. Daraus entstehen leistungsstarke Sportböden, Fallschutzböden, Antirutschmatten zur Ladungssicherung, Produkte zur Trittschalldämmung und Schwingungsisolierung sowie Schutz- und Trennlagen für Bauanwendungen. In vielen dieser Märkte gehört </w:t>
      </w:r>
      <w:r w:rsidRPr="007269D3">
        <w:rPr>
          <w:b/>
          <w:bCs/>
          <w:sz w:val="18"/>
          <w:szCs w:val="18"/>
        </w:rPr>
        <w:t>REGUPOL</w:t>
      </w:r>
      <w:r w:rsidRPr="007269D3">
        <w:rPr>
          <w:sz w:val="18"/>
          <w:szCs w:val="18"/>
        </w:rPr>
        <w:t xml:space="preserve"> dank des Know-hows des weltweiten Teams heute zu den führenden Anbietern. Tochtergesellschaften </w:t>
      </w:r>
      <w:r w:rsidR="001669A4">
        <w:rPr>
          <w:sz w:val="18"/>
          <w:szCs w:val="18"/>
        </w:rPr>
        <w:t xml:space="preserve">der </w:t>
      </w:r>
      <w:r w:rsidR="001669A4" w:rsidRPr="00460024">
        <w:rPr>
          <w:b/>
          <w:bCs/>
          <w:sz w:val="18"/>
          <w:szCs w:val="18"/>
        </w:rPr>
        <w:t>REGUPOL Holding</w:t>
      </w:r>
      <w:r w:rsidR="001669A4">
        <w:rPr>
          <w:sz w:val="18"/>
          <w:szCs w:val="18"/>
        </w:rPr>
        <w:t xml:space="preserve"> </w:t>
      </w:r>
      <w:r w:rsidRPr="007269D3">
        <w:rPr>
          <w:sz w:val="18"/>
          <w:szCs w:val="18"/>
        </w:rPr>
        <w:t xml:space="preserve">sind: </w:t>
      </w:r>
      <w:r w:rsidRPr="00CA3F51">
        <w:rPr>
          <w:b/>
          <w:bCs/>
          <w:sz w:val="18"/>
          <w:szCs w:val="18"/>
        </w:rPr>
        <w:t xml:space="preserve">REGUPOL </w:t>
      </w:r>
      <w:proofErr w:type="spellStart"/>
      <w:r w:rsidRPr="00CA3F51">
        <w:rPr>
          <w:b/>
          <w:bCs/>
          <w:sz w:val="18"/>
          <w:szCs w:val="18"/>
        </w:rPr>
        <w:t>America</w:t>
      </w:r>
      <w:proofErr w:type="spellEnd"/>
      <w:r w:rsidRPr="00CA3F51">
        <w:rPr>
          <w:b/>
          <w:bCs/>
          <w:sz w:val="18"/>
          <w:szCs w:val="18"/>
        </w:rPr>
        <w:t xml:space="preserve"> LLC</w:t>
      </w:r>
      <w:r w:rsidRPr="007269D3">
        <w:rPr>
          <w:sz w:val="18"/>
          <w:szCs w:val="18"/>
        </w:rPr>
        <w:t>,</w:t>
      </w:r>
      <w:r w:rsidRPr="007269D3">
        <w:rPr>
          <w:b/>
          <w:bCs/>
          <w:sz w:val="18"/>
          <w:szCs w:val="18"/>
        </w:rPr>
        <w:t xml:space="preserve"> </w:t>
      </w:r>
      <w:r w:rsidRPr="00CA3F51">
        <w:rPr>
          <w:b/>
          <w:bCs/>
          <w:sz w:val="18"/>
          <w:szCs w:val="18"/>
        </w:rPr>
        <w:t xml:space="preserve">REGUPOL Australia </w:t>
      </w:r>
      <w:proofErr w:type="spellStart"/>
      <w:r w:rsidRPr="00CA3F51">
        <w:rPr>
          <w:b/>
          <w:bCs/>
          <w:sz w:val="18"/>
          <w:szCs w:val="18"/>
        </w:rPr>
        <w:t>Pty</w:t>
      </w:r>
      <w:proofErr w:type="spellEnd"/>
      <w:r w:rsidRPr="00CA3F51">
        <w:rPr>
          <w:b/>
          <w:bCs/>
          <w:sz w:val="18"/>
          <w:szCs w:val="18"/>
        </w:rPr>
        <w:t>. Ltd.</w:t>
      </w:r>
      <w:r w:rsidRPr="007269D3">
        <w:rPr>
          <w:sz w:val="18"/>
          <w:szCs w:val="18"/>
        </w:rPr>
        <w:t xml:space="preserve">, </w:t>
      </w:r>
      <w:r w:rsidRPr="007269D3">
        <w:rPr>
          <w:b/>
          <w:bCs/>
          <w:sz w:val="18"/>
          <w:szCs w:val="18"/>
        </w:rPr>
        <w:t>REGUPOL</w:t>
      </w:r>
      <w:r w:rsidRPr="00CA3F51">
        <w:rPr>
          <w:b/>
          <w:bCs/>
          <w:sz w:val="18"/>
          <w:szCs w:val="18"/>
        </w:rPr>
        <w:t xml:space="preserve"> Acoustics Middle East FZE</w:t>
      </w:r>
      <w:r w:rsidRPr="007269D3">
        <w:rPr>
          <w:sz w:val="18"/>
          <w:szCs w:val="18"/>
        </w:rPr>
        <w:t xml:space="preserve">, </w:t>
      </w:r>
      <w:r w:rsidRPr="00CA3F51">
        <w:rPr>
          <w:b/>
          <w:bCs/>
          <w:sz w:val="18"/>
          <w:szCs w:val="18"/>
        </w:rPr>
        <w:t>REGUPOL Schweiz AG</w:t>
      </w:r>
      <w:r w:rsidRPr="007269D3">
        <w:rPr>
          <w:sz w:val="18"/>
          <w:szCs w:val="18"/>
        </w:rPr>
        <w:t xml:space="preserve">, </w:t>
      </w:r>
      <w:r w:rsidRPr="00CA3F51">
        <w:rPr>
          <w:b/>
          <w:bCs/>
          <w:sz w:val="18"/>
          <w:szCs w:val="18"/>
        </w:rPr>
        <w:t>REGUPOL Zebra Athletics LLC</w:t>
      </w:r>
      <w:r w:rsidRPr="007269D3">
        <w:rPr>
          <w:sz w:val="18"/>
          <w:szCs w:val="18"/>
        </w:rPr>
        <w:t xml:space="preserve"> und </w:t>
      </w:r>
      <w:r w:rsidRPr="00CA3F51">
        <w:rPr>
          <w:b/>
          <w:bCs/>
          <w:sz w:val="18"/>
          <w:szCs w:val="18"/>
        </w:rPr>
        <w:t>BSW Shanghai CO. LTD.</w:t>
      </w:r>
      <w:r w:rsidRPr="007269D3">
        <w:rPr>
          <w:sz w:val="18"/>
          <w:szCs w:val="18"/>
        </w:rPr>
        <w:t xml:space="preserve"> Im vergangenen Jahr erzielte </w:t>
      </w:r>
      <w:r w:rsidRPr="007269D3">
        <w:rPr>
          <w:b/>
          <w:bCs/>
          <w:sz w:val="18"/>
          <w:szCs w:val="18"/>
        </w:rPr>
        <w:t>REGUPOL</w:t>
      </w:r>
      <w:r w:rsidRPr="007269D3">
        <w:rPr>
          <w:sz w:val="18"/>
          <w:szCs w:val="18"/>
        </w:rPr>
        <w:t xml:space="preserve"> einen Umsatz von </w:t>
      </w:r>
      <w:r w:rsidR="00586F21">
        <w:rPr>
          <w:sz w:val="18"/>
          <w:szCs w:val="18"/>
        </w:rPr>
        <w:t>mehr als</w:t>
      </w:r>
      <w:r w:rsidRPr="007269D3">
        <w:rPr>
          <w:sz w:val="18"/>
          <w:szCs w:val="18"/>
        </w:rPr>
        <w:t xml:space="preserve"> 1</w:t>
      </w:r>
      <w:r w:rsidR="00B73F6E">
        <w:rPr>
          <w:sz w:val="18"/>
          <w:szCs w:val="18"/>
        </w:rPr>
        <w:t>4</w:t>
      </w:r>
      <w:r w:rsidRPr="007269D3">
        <w:rPr>
          <w:sz w:val="18"/>
          <w:szCs w:val="18"/>
        </w:rPr>
        <w:t xml:space="preserve">0 Millionen € und recycelte mehr als 90.000 Tonnen Elastomere. </w:t>
      </w:r>
      <w:r w:rsidRPr="007269D3">
        <w:rPr>
          <w:b/>
          <w:bCs/>
          <w:sz w:val="18"/>
          <w:szCs w:val="18"/>
        </w:rPr>
        <w:t>REGUPOL</w:t>
      </w:r>
      <w:r w:rsidRPr="007269D3">
        <w:rPr>
          <w:sz w:val="18"/>
          <w:szCs w:val="18"/>
        </w:rPr>
        <w:t xml:space="preserve"> ist Preisträger des Umweltwirtschaftspreises NRW</w:t>
      </w:r>
      <w:r w:rsidR="00012FB5">
        <w:rPr>
          <w:sz w:val="18"/>
          <w:szCs w:val="18"/>
        </w:rPr>
        <w:t>, des Energieeffizienzpreises NRW</w:t>
      </w:r>
      <w:r w:rsidRPr="007269D3">
        <w:rPr>
          <w:sz w:val="18"/>
          <w:szCs w:val="18"/>
        </w:rPr>
        <w:t xml:space="preserve"> und erhielt</w:t>
      </w:r>
      <w:r w:rsidR="00012FB5">
        <w:rPr>
          <w:sz w:val="18"/>
          <w:szCs w:val="18"/>
        </w:rPr>
        <w:t xml:space="preserve"> </w:t>
      </w:r>
      <w:r w:rsidRPr="007269D3">
        <w:rPr>
          <w:sz w:val="18"/>
          <w:szCs w:val="18"/>
        </w:rPr>
        <w:t xml:space="preserve">für einige Produkte aus den Bereichen </w:t>
      </w:r>
      <w:r w:rsidR="001A5026">
        <w:rPr>
          <w:sz w:val="18"/>
          <w:szCs w:val="18"/>
        </w:rPr>
        <w:t xml:space="preserve">Sport, </w:t>
      </w:r>
      <w:r w:rsidRPr="007269D3">
        <w:rPr>
          <w:sz w:val="18"/>
          <w:szCs w:val="18"/>
        </w:rPr>
        <w:t xml:space="preserve">Akustik, </w:t>
      </w:r>
      <w:r w:rsidR="005B741D">
        <w:rPr>
          <w:sz w:val="18"/>
          <w:szCs w:val="18"/>
        </w:rPr>
        <w:t>Construction</w:t>
      </w:r>
      <w:r w:rsidRPr="007269D3">
        <w:rPr>
          <w:sz w:val="18"/>
          <w:szCs w:val="18"/>
        </w:rPr>
        <w:t xml:space="preserve"> und Ladungssicherung d</w:t>
      </w:r>
      <w:r w:rsidR="00835A4B" w:rsidRPr="007269D3">
        <w:rPr>
          <w:sz w:val="18"/>
          <w:szCs w:val="18"/>
        </w:rPr>
        <w:t xml:space="preserve">as </w:t>
      </w:r>
      <w:proofErr w:type="spellStart"/>
      <w:r w:rsidR="00835A4B" w:rsidRPr="007269D3">
        <w:rPr>
          <w:rFonts w:eastAsia="Times New Roman" w:cstheme="minorHAnsi"/>
          <w:sz w:val="18"/>
          <w:szCs w:val="18"/>
        </w:rPr>
        <w:t>Cradle</w:t>
      </w:r>
      <w:proofErr w:type="spellEnd"/>
      <w:r w:rsidR="00835A4B" w:rsidRPr="007269D3">
        <w:rPr>
          <w:rFonts w:eastAsia="Times New Roman" w:cstheme="minorHAnsi"/>
          <w:sz w:val="18"/>
          <w:szCs w:val="18"/>
        </w:rPr>
        <w:t xml:space="preserve"> </w:t>
      </w:r>
      <w:proofErr w:type="spellStart"/>
      <w:r w:rsidR="00835A4B" w:rsidRPr="007269D3">
        <w:rPr>
          <w:rFonts w:eastAsia="Times New Roman" w:cstheme="minorHAnsi"/>
          <w:sz w:val="18"/>
          <w:szCs w:val="18"/>
        </w:rPr>
        <w:t>to</w:t>
      </w:r>
      <w:proofErr w:type="spellEnd"/>
      <w:r w:rsidR="00835A4B" w:rsidRPr="007269D3">
        <w:rPr>
          <w:rFonts w:eastAsia="Times New Roman" w:cstheme="minorHAnsi"/>
          <w:sz w:val="18"/>
          <w:szCs w:val="18"/>
        </w:rPr>
        <w:t xml:space="preserve"> </w:t>
      </w:r>
      <w:proofErr w:type="spellStart"/>
      <w:r w:rsidR="00835A4B" w:rsidRPr="007269D3">
        <w:rPr>
          <w:rFonts w:eastAsia="Times New Roman" w:cstheme="minorHAnsi"/>
          <w:sz w:val="18"/>
          <w:szCs w:val="18"/>
        </w:rPr>
        <w:t>Cradle</w:t>
      </w:r>
      <w:proofErr w:type="spellEnd"/>
      <w:r w:rsidR="00835A4B" w:rsidRPr="007269D3">
        <w:rPr>
          <w:rFonts w:eastAsia="Times New Roman" w:cstheme="minorHAnsi"/>
          <w:sz w:val="18"/>
          <w:szCs w:val="18"/>
        </w:rPr>
        <w:t xml:space="preserve"> Certified® Bronze-Zertifikat</w:t>
      </w:r>
      <w:r w:rsidRPr="007269D3">
        <w:rPr>
          <w:sz w:val="18"/>
          <w:szCs w:val="18"/>
        </w:rPr>
        <w:t xml:space="preserve">. </w:t>
      </w:r>
      <w:proofErr w:type="spellStart"/>
      <w:r w:rsidR="00835A4B" w:rsidRPr="007269D3">
        <w:rPr>
          <w:rFonts w:eastAsia="Times New Roman" w:cstheme="minorHAnsi"/>
          <w:sz w:val="18"/>
          <w:szCs w:val="18"/>
        </w:rPr>
        <w:t>Cradle</w:t>
      </w:r>
      <w:proofErr w:type="spellEnd"/>
      <w:r w:rsidR="00835A4B" w:rsidRPr="007269D3">
        <w:rPr>
          <w:rFonts w:eastAsia="Times New Roman" w:cstheme="minorHAnsi"/>
          <w:sz w:val="18"/>
          <w:szCs w:val="18"/>
        </w:rPr>
        <w:t xml:space="preserve"> </w:t>
      </w:r>
      <w:proofErr w:type="spellStart"/>
      <w:r w:rsidR="00835A4B" w:rsidRPr="007269D3">
        <w:rPr>
          <w:rFonts w:eastAsia="Times New Roman" w:cstheme="minorHAnsi"/>
          <w:sz w:val="18"/>
          <w:szCs w:val="18"/>
        </w:rPr>
        <w:t>to</w:t>
      </w:r>
      <w:proofErr w:type="spellEnd"/>
      <w:r w:rsidR="00835A4B" w:rsidRPr="007269D3">
        <w:rPr>
          <w:rFonts w:eastAsia="Times New Roman" w:cstheme="minorHAnsi"/>
          <w:sz w:val="18"/>
          <w:szCs w:val="18"/>
        </w:rPr>
        <w:t xml:space="preserve"> </w:t>
      </w:r>
      <w:proofErr w:type="spellStart"/>
      <w:r w:rsidR="00835A4B" w:rsidRPr="007269D3">
        <w:rPr>
          <w:rFonts w:eastAsia="Times New Roman" w:cstheme="minorHAnsi"/>
          <w:sz w:val="18"/>
          <w:szCs w:val="18"/>
        </w:rPr>
        <w:t>Cradle</w:t>
      </w:r>
      <w:proofErr w:type="spellEnd"/>
      <w:r w:rsidR="00835A4B" w:rsidRPr="007269D3">
        <w:rPr>
          <w:rFonts w:eastAsia="Times New Roman" w:cstheme="minorHAnsi"/>
          <w:sz w:val="18"/>
          <w:szCs w:val="18"/>
        </w:rPr>
        <w:t xml:space="preserve"> Certified®</w:t>
      </w:r>
      <w:r w:rsidR="00835A4B" w:rsidRPr="007269D3">
        <w:rPr>
          <w:rFonts w:eastAsia="Times New Roman" w:cstheme="minorHAnsi"/>
          <w:b/>
          <w:bCs/>
          <w:sz w:val="18"/>
          <w:szCs w:val="18"/>
        </w:rPr>
        <w:t xml:space="preserve"> </w:t>
      </w:r>
      <w:r w:rsidRPr="007269D3">
        <w:rPr>
          <w:sz w:val="18"/>
          <w:szCs w:val="18"/>
        </w:rPr>
        <w:t xml:space="preserve">steht für eine durchgängige und konsequente Kreislaufwirtschaft. </w:t>
      </w:r>
      <w:r w:rsidRPr="007269D3">
        <w:rPr>
          <w:b/>
          <w:bCs/>
          <w:sz w:val="18"/>
          <w:szCs w:val="18"/>
        </w:rPr>
        <w:t>REGUPOL</w:t>
      </w:r>
      <w:r w:rsidRPr="007269D3">
        <w:rPr>
          <w:sz w:val="18"/>
          <w:szCs w:val="18"/>
        </w:rPr>
        <w:t xml:space="preserve"> hat es sich zur Aufgabe gemacht kontinuierlich daran zu arbeiten Lösungen im Sinne einer konsequenten Kreislaufwirtschaft zu entwickeln. Zukunft nachhaltig und erfolgreich gestalten, das ist Ziel des Unternehmens. </w:t>
      </w:r>
      <w:bookmarkEnd w:id="0"/>
    </w:p>
    <w:sectPr w:rsidR="00E85D32" w:rsidRPr="007269D3" w:rsidSect="00B4689A">
      <w:headerReference w:type="default" r:id="rId9"/>
      <w:footerReference w:type="default" r:id="rId10"/>
      <w:type w:val="continuous"/>
      <w:pgSz w:w="11900" w:h="16840"/>
      <w:pgMar w:top="2268" w:right="1418" w:bottom="1418"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3E531" w14:textId="77777777" w:rsidR="00C36FF4" w:rsidRDefault="00C36FF4" w:rsidP="000471AF">
      <w:r>
        <w:separator/>
      </w:r>
    </w:p>
  </w:endnote>
  <w:endnote w:type="continuationSeparator" w:id="0">
    <w:p w14:paraId="263E2BAF" w14:textId="77777777" w:rsidR="00C36FF4" w:rsidRDefault="00C36FF4" w:rsidP="0004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F02C9" w14:textId="198F6AFF" w:rsidR="00857ECF" w:rsidRPr="00E85D32" w:rsidRDefault="00E066AA" w:rsidP="00E85D32">
    <w:pPr>
      <w:pStyle w:val="Fuzeile"/>
      <w:tabs>
        <w:tab w:val="clear" w:pos="4536"/>
        <w:tab w:val="clear" w:pos="9072"/>
        <w:tab w:val="left" w:pos="1644"/>
        <w:tab w:val="left" w:pos="3261"/>
        <w:tab w:val="left" w:pos="5812"/>
        <w:tab w:val="left" w:pos="7655"/>
      </w:tabs>
      <w:rPr>
        <w:color w:val="26282D"/>
        <w:sz w:val="14"/>
        <w:szCs w:val="14"/>
        <w:lang w:val="en-GB"/>
      </w:rPr>
    </w:pPr>
    <w:r w:rsidRPr="00E066AA">
      <w:rPr>
        <w:rFonts w:cstheme="minorHAnsi"/>
        <w:b/>
        <w:bCs/>
        <w:color w:val="26282D"/>
        <w:sz w:val="14"/>
        <w:szCs w:val="14"/>
      </w:rPr>
      <w:t>REGUPOL Germany GmbH &amp; Co. KG</w:t>
    </w:r>
    <w:r w:rsidRPr="00E066AA">
      <w:rPr>
        <w:rFonts w:cstheme="minorHAnsi"/>
        <w:color w:val="26282D"/>
        <w:sz w:val="14"/>
        <w:szCs w:val="14"/>
      </w:rPr>
      <w:t xml:space="preserve"> </w:t>
    </w:r>
    <w:r w:rsidR="00E85D32" w:rsidRPr="00A87E2F">
      <w:rPr>
        <w:rFonts w:cstheme="minorHAnsi"/>
        <w:color w:val="26282D"/>
        <w:sz w:val="14"/>
        <w:szCs w:val="14"/>
      </w:rPr>
      <w:t xml:space="preserve">| Am Hilgenacker 24 | 57319 Bad </w:t>
    </w:r>
    <w:proofErr w:type="spellStart"/>
    <w:r w:rsidR="00E85D32" w:rsidRPr="00A87E2F">
      <w:rPr>
        <w:rFonts w:cstheme="minorHAnsi"/>
        <w:color w:val="26282D"/>
        <w:sz w:val="14"/>
        <w:szCs w:val="14"/>
      </w:rPr>
      <w:t>Berleburg</w:t>
    </w:r>
    <w:proofErr w:type="spellEnd"/>
    <w:r w:rsidR="00E85D32" w:rsidRPr="00A87E2F">
      <w:rPr>
        <w:rFonts w:cstheme="minorHAnsi"/>
        <w:color w:val="26282D"/>
        <w:sz w:val="14"/>
        <w:szCs w:val="14"/>
      </w:rPr>
      <w:t xml:space="preserve"> | Germany | phone +49 2751 803-0 | </w:t>
    </w:r>
    <w:hyperlink r:id="rId1" w:history="1">
      <w:r w:rsidR="00E85D32" w:rsidRPr="00A87E2F">
        <w:rPr>
          <w:rStyle w:val="Hyperlink"/>
          <w:rFonts w:cstheme="minorHAnsi"/>
          <w:color w:val="26282D"/>
          <w:sz w:val="14"/>
          <w:szCs w:val="14"/>
          <w:u w:val="none"/>
        </w:rPr>
        <w:t>info@regupol.de</w:t>
      </w:r>
    </w:hyperlink>
    <w:r w:rsidR="00E85D32" w:rsidRPr="00A87E2F">
      <w:rPr>
        <w:rFonts w:cstheme="minorHAnsi"/>
        <w:color w:val="26282D"/>
        <w:sz w:val="14"/>
        <w:szCs w:val="14"/>
      </w:rPr>
      <w:t xml:space="preserve"> | </w:t>
    </w:r>
    <w:hyperlink r:id="rId2" w:history="1">
      <w:r w:rsidR="00E85D32" w:rsidRPr="00A87E2F">
        <w:rPr>
          <w:rStyle w:val="Hyperlink"/>
          <w:rFonts w:cstheme="minorHAnsi"/>
          <w:color w:val="26282D"/>
          <w:sz w:val="14"/>
          <w:szCs w:val="14"/>
          <w:u w:val="none"/>
        </w:rPr>
        <w:t>www.regupol.com</w:t>
      </w:r>
    </w:hyperlink>
    <w:r>
      <w:rPr>
        <w:rStyle w:val="Hyperlink"/>
        <w:rFonts w:cstheme="minorHAnsi"/>
        <w:color w:val="26282D"/>
        <w:sz w:val="14"/>
        <w:szCs w:val="14"/>
        <w:u w:val="none"/>
      </w:rPr>
      <w:t xml:space="preserve">     </w:t>
    </w:r>
    <w:r w:rsidR="0045689E">
      <w:rPr>
        <w:sz w:val="14"/>
        <w:szCs w:val="14"/>
      </w:rPr>
      <w:fldChar w:fldCharType="begin"/>
    </w:r>
    <w:r w:rsidR="0045689E" w:rsidRPr="002844B9">
      <w:rPr>
        <w:sz w:val="14"/>
        <w:szCs w:val="14"/>
        <w:lang w:val="en-GB"/>
      </w:rPr>
      <w:instrText>PAGE   \* MERGEFORMAT</w:instrText>
    </w:r>
    <w:r w:rsidR="0045689E">
      <w:rPr>
        <w:sz w:val="14"/>
        <w:szCs w:val="14"/>
      </w:rPr>
      <w:fldChar w:fldCharType="separate"/>
    </w:r>
    <w:r w:rsidR="0045689E" w:rsidRPr="002844B9">
      <w:rPr>
        <w:sz w:val="14"/>
        <w:szCs w:val="14"/>
        <w:lang w:val="en-GB"/>
      </w:rPr>
      <w:t>1</w:t>
    </w:r>
    <w:r w:rsidR="0045689E">
      <w:rPr>
        <w:sz w:val="14"/>
        <w:szCs w:val="14"/>
      </w:rPr>
      <w:fldChar w:fldCharType="end"/>
    </w:r>
    <w:r w:rsidR="0045689E" w:rsidRPr="002844B9">
      <w:rPr>
        <w:sz w:val="14"/>
        <w:szCs w:val="14"/>
        <w:lang w:val="en-GB"/>
      </w:rPr>
      <w:t xml:space="preserve"> | </w:t>
    </w:r>
    <w:r w:rsidR="00B14F77" w:rsidRPr="002844B9">
      <w:rPr>
        <w:sz w:val="14"/>
        <w:szCs w:val="14"/>
        <w:lang w:val="en-GB"/>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7E9DA" w14:textId="77777777" w:rsidR="00C36FF4" w:rsidRDefault="00C36FF4" w:rsidP="000471AF">
      <w:r>
        <w:separator/>
      </w:r>
    </w:p>
  </w:footnote>
  <w:footnote w:type="continuationSeparator" w:id="0">
    <w:p w14:paraId="764E8BFA" w14:textId="77777777" w:rsidR="00C36FF4" w:rsidRDefault="00C36FF4" w:rsidP="0004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45BB0" w14:textId="77777777" w:rsidR="006245D5" w:rsidRDefault="006245D5" w:rsidP="00857ECF">
    <w:pPr>
      <w:pStyle w:val="Kopfzeile"/>
      <w:tabs>
        <w:tab w:val="clear" w:pos="4536"/>
        <w:tab w:val="clear" w:pos="9072"/>
      </w:tabs>
    </w:pPr>
  </w:p>
  <w:p w14:paraId="6F6E046F" w14:textId="6F048A03" w:rsidR="007235A6" w:rsidRPr="00C234FD" w:rsidRDefault="00857ECF" w:rsidP="00857ECF">
    <w:pPr>
      <w:pStyle w:val="Kopfzeile"/>
      <w:tabs>
        <w:tab w:val="clear" w:pos="4536"/>
        <w:tab w:val="clear" w:pos="9072"/>
      </w:tabs>
      <w:rPr>
        <w:rFonts w:ascii="Calibri Light" w:hAnsi="Calibri Light" w:cs="Calibri Light"/>
        <w:sz w:val="34"/>
        <w:szCs w:val="34"/>
      </w:rPr>
    </w:pPr>
    <w:r w:rsidRPr="00796F9F">
      <w:rPr>
        <w:rFonts w:ascii="Calibri Light" w:hAnsi="Calibri Light" w:cs="Calibri Light"/>
        <w:noProof/>
        <w:sz w:val="20"/>
      </w:rPr>
      <w:drawing>
        <wp:anchor distT="0" distB="0" distL="114300" distR="114300" simplePos="0" relativeHeight="251659776" behindDoc="0" locked="1" layoutInCell="0" allowOverlap="0" wp14:anchorId="50622ECF" wp14:editId="61AAAD9D">
          <wp:simplePos x="0" y="0"/>
          <wp:positionH relativeFrom="column">
            <wp:posOffset>3935095</wp:posOffset>
          </wp:positionH>
          <wp:positionV relativeFrom="page">
            <wp:posOffset>655320</wp:posOffset>
          </wp:positionV>
          <wp:extent cx="1796400" cy="2340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6400" cy="234000"/>
                  </a:xfrm>
                  <a:prstGeom prst="rect">
                    <a:avLst/>
                  </a:prstGeom>
                </pic:spPr>
              </pic:pic>
            </a:graphicData>
          </a:graphic>
          <wp14:sizeRelH relativeFrom="margin">
            <wp14:pctWidth>0</wp14:pctWidth>
          </wp14:sizeRelH>
          <wp14:sizeRelV relativeFrom="margin">
            <wp14:pctHeight>0</wp14:pctHeight>
          </wp14:sizeRelV>
        </wp:anchor>
      </w:drawing>
    </w:r>
    <w:r w:rsidR="00E85D32">
      <w:rPr>
        <w:rFonts w:ascii="Calibri Light" w:hAnsi="Calibri Light" w:cs="Calibri Light"/>
        <w:sz w:val="34"/>
        <w:szCs w:val="34"/>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14611E"/>
    <w:multiLevelType w:val="hybridMultilevel"/>
    <w:tmpl w:val="0B169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43750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69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5D5"/>
    <w:rsid w:val="00012FB5"/>
    <w:rsid w:val="00014954"/>
    <w:rsid w:val="00021141"/>
    <w:rsid w:val="00030DF9"/>
    <w:rsid w:val="00031EEA"/>
    <w:rsid w:val="000404D8"/>
    <w:rsid w:val="000471AF"/>
    <w:rsid w:val="0006483C"/>
    <w:rsid w:val="00067879"/>
    <w:rsid w:val="00070A25"/>
    <w:rsid w:val="000A32D0"/>
    <w:rsid w:val="000D0A9E"/>
    <w:rsid w:val="000D1DCA"/>
    <w:rsid w:val="00112E0E"/>
    <w:rsid w:val="00121E5C"/>
    <w:rsid w:val="00131E35"/>
    <w:rsid w:val="00140A22"/>
    <w:rsid w:val="001669A4"/>
    <w:rsid w:val="001A4CEB"/>
    <w:rsid w:val="001A5026"/>
    <w:rsid w:val="001A6C76"/>
    <w:rsid w:val="001C2B41"/>
    <w:rsid w:val="001F497C"/>
    <w:rsid w:val="002113B1"/>
    <w:rsid w:val="00223761"/>
    <w:rsid w:val="00224DCD"/>
    <w:rsid w:val="00237D39"/>
    <w:rsid w:val="0024102E"/>
    <w:rsid w:val="002844B9"/>
    <w:rsid w:val="00285694"/>
    <w:rsid w:val="00291884"/>
    <w:rsid w:val="002922B8"/>
    <w:rsid w:val="002D3C6B"/>
    <w:rsid w:val="002E2A42"/>
    <w:rsid w:val="0031522F"/>
    <w:rsid w:val="003162D0"/>
    <w:rsid w:val="00317A33"/>
    <w:rsid w:val="0032201D"/>
    <w:rsid w:val="00333DB9"/>
    <w:rsid w:val="00350A33"/>
    <w:rsid w:val="003552EA"/>
    <w:rsid w:val="003603B5"/>
    <w:rsid w:val="00394954"/>
    <w:rsid w:val="003B7804"/>
    <w:rsid w:val="003D16EF"/>
    <w:rsid w:val="003F7A32"/>
    <w:rsid w:val="0045689E"/>
    <w:rsid w:val="00460024"/>
    <w:rsid w:val="0046204C"/>
    <w:rsid w:val="004679D1"/>
    <w:rsid w:val="004914CB"/>
    <w:rsid w:val="004E0C82"/>
    <w:rsid w:val="004F623D"/>
    <w:rsid w:val="005446DD"/>
    <w:rsid w:val="0055238B"/>
    <w:rsid w:val="005726B7"/>
    <w:rsid w:val="00586F21"/>
    <w:rsid w:val="00594029"/>
    <w:rsid w:val="005A161F"/>
    <w:rsid w:val="005B741D"/>
    <w:rsid w:val="005D47E6"/>
    <w:rsid w:val="00601B35"/>
    <w:rsid w:val="0061114C"/>
    <w:rsid w:val="00621529"/>
    <w:rsid w:val="006245D5"/>
    <w:rsid w:val="00633373"/>
    <w:rsid w:val="006433CC"/>
    <w:rsid w:val="0064446C"/>
    <w:rsid w:val="00644ACF"/>
    <w:rsid w:val="00647115"/>
    <w:rsid w:val="006479B6"/>
    <w:rsid w:val="00653401"/>
    <w:rsid w:val="006545A1"/>
    <w:rsid w:val="00661969"/>
    <w:rsid w:val="006645E6"/>
    <w:rsid w:val="006661AF"/>
    <w:rsid w:val="006813CC"/>
    <w:rsid w:val="006E764F"/>
    <w:rsid w:val="00702363"/>
    <w:rsid w:val="00707245"/>
    <w:rsid w:val="0071247C"/>
    <w:rsid w:val="007235A6"/>
    <w:rsid w:val="007269D3"/>
    <w:rsid w:val="00731E4E"/>
    <w:rsid w:val="00734D14"/>
    <w:rsid w:val="0077700F"/>
    <w:rsid w:val="00787CB6"/>
    <w:rsid w:val="00795961"/>
    <w:rsid w:val="00796F9F"/>
    <w:rsid w:val="007F0221"/>
    <w:rsid w:val="00804309"/>
    <w:rsid w:val="00804A1F"/>
    <w:rsid w:val="00814B78"/>
    <w:rsid w:val="008156DC"/>
    <w:rsid w:val="00835A4B"/>
    <w:rsid w:val="0083699C"/>
    <w:rsid w:val="00857ECF"/>
    <w:rsid w:val="0086226E"/>
    <w:rsid w:val="00874F6B"/>
    <w:rsid w:val="008909EB"/>
    <w:rsid w:val="008954EC"/>
    <w:rsid w:val="008B3595"/>
    <w:rsid w:val="008D0C3A"/>
    <w:rsid w:val="008D1B8B"/>
    <w:rsid w:val="008E4D94"/>
    <w:rsid w:val="008F6CE1"/>
    <w:rsid w:val="00925BB2"/>
    <w:rsid w:val="00953AE1"/>
    <w:rsid w:val="00980890"/>
    <w:rsid w:val="009930A6"/>
    <w:rsid w:val="009A120F"/>
    <w:rsid w:val="009E15BD"/>
    <w:rsid w:val="009F294B"/>
    <w:rsid w:val="00A03268"/>
    <w:rsid w:val="00A0328B"/>
    <w:rsid w:val="00A20A52"/>
    <w:rsid w:val="00A504AB"/>
    <w:rsid w:val="00A55B0F"/>
    <w:rsid w:val="00A846CD"/>
    <w:rsid w:val="00AA4055"/>
    <w:rsid w:val="00AA58DC"/>
    <w:rsid w:val="00AA695B"/>
    <w:rsid w:val="00B07397"/>
    <w:rsid w:val="00B10D2A"/>
    <w:rsid w:val="00B14F77"/>
    <w:rsid w:val="00B4689A"/>
    <w:rsid w:val="00B53BAD"/>
    <w:rsid w:val="00B73F6E"/>
    <w:rsid w:val="00BC61B0"/>
    <w:rsid w:val="00BC6342"/>
    <w:rsid w:val="00BE677E"/>
    <w:rsid w:val="00BF0384"/>
    <w:rsid w:val="00BF4411"/>
    <w:rsid w:val="00C10106"/>
    <w:rsid w:val="00C1076F"/>
    <w:rsid w:val="00C15541"/>
    <w:rsid w:val="00C234FD"/>
    <w:rsid w:val="00C272DA"/>
    <w:rsid w:val="00C32AAE"/>
    <w:rsid w:val="00C36FF4"/>
    <w:rsid w:val="00C42BC5"/>
    <w:rsid w:val="00C66FD8"/>
    <w:rsid w:val="00C733D1"/>
    <w:rsid w:val="00C77E81"/>
    <w:rsid w:val="00C8717E"/>
    <w:rsid w:val="00C9541A"/>
    <w:rsid w:val="00C96CF5"/>
    <w:rsid w:val="00CA3F51"/>
    <w:rsid w:val="00CB54FE"/>
    <w:rsid w:val="00CB6300"/>
    <w:rsid w:val="00CD335F"/>
    <w:rsid w:val="00CF2909"/>
    <w:rsid w:val="00CF4936"/>
    <w:rsid w:val="00D13D3D"/>
    <w:rsid w:val="00D14D07"/>
    <w:rsid w:val="00D21C1B"/>
    <w:rsid w:val="00D27076"/>
    <w:rsid w:val="00D30F95"/>
    <w:rsid w:val="00D64D9E"/>
    <w:rsid w:val="00D81A86"/>
    <w:rsid w:val="00D90D9E"/>
    <w:rsid w:val="00DB528A"/>
    <w:rsid w:val="00DF5467"/>
    <w:rsid w:val="00E066AA"/>
    <w:rsid w:val="00E170BB"/>
    <w:rsid w:val="00E20822"/>
    <w:rsid w:val="00E234E4"/>
    <w:rsid w:val="00E53310"/>
    <w:rsid w:val="00E703A2"/>
    <w:rsid w:val="00E8019F"/>
    <w:rsid w:val="00E85D32"/>
    <w:rsid w:val="00E91157"/>
    <w:rsid w:val="00E95306"/>
    <w:rsid w:val="00EA3DA7"/>
    <w:rsid w:val="00EB7D30"/>
    <w:rsid w:val="00EC6AEB"/>
    <w:rsid w:val="00EE35DB"/>
    <w:rsid w:val="00EE4C06"/>
    <w:rsid w:val="00F40DDF"/>
    <w:rsid w:val="00F75F56"/>
    <w:rsid w:val="00FD05A8"/>
    <w:rsid w:val="00FE3777"/>
    <w:rsid w:val="00FE5CC8"/>
    <w:rsid w:val="00FE62F1"/>
    <w:rsid w:val="00FF5D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6977"/>
    <o:shapelayout v:ext="edit">
      <o:idmap v:ext="edit" data="1"/>
    </o:shapelayout>
  </w:shapeDefaults>
  <w:decimalSymbol w:val=","/>
  <w:listSeparator w:val=";"/>
  <w14:docId w14:val="23799FDD"/>
  <w15:docId w15:val="{D2FDB254-6015-43E6-B337-64F8CCEF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35A6"/>
    <w:pPr>
      <w:widowControl/>
      <w:autoSpaceDE/>
      <w:autoSpaceDN/>
      <w:spacing w:after="160" w:line="259" w:lineRule="auto"/>
    </w:pPr>
    <w:rPr>
      <w:rFonts w:asciiTheme="minorHAnsi" w:hAnsiTheme="minorHAnsi" w:cstheme="minorBidi"/>
      <w:lang w:val="de-DE"/>
    </w:rPr>
  </w:style>
  <w:style w:type="paragraph" w:styleId="berschrift1">
    <w:name w:val="heading 1"/>
    <w:basedOn w:val="Standard"/>
    <w:uiPriority w:val="9"/>
    <w:qFormat/>
    <w:pPr>
      <w:widowControl w:val="0"/>
      <w:autoSpaceDE w:val="0"/>
      <w:autoSpaceDN w:val="0"/>
      <w:spacing w:after="0" w:line="240" w:lineRule="auto"/>
      <w:ind w:left="155"/>
      <w:outlineLvl w:val="0"/>
    </w:pPr>
    <w:rPr>
      <w:rFonts w:ascii="Calibri" w:hAnsi="Calibri" w:cs="Calibri"/>
      <w:b/>
      <w:bCs/>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widowControl w:val="0"/>
      <w:autoSpaceDE w:val="0"/>
      <w:autoSpaceDN w:val="0"/>
      <w:spacing w:after="0" w:line="240" w:lineRule="auto"/>
    </w:pPr>
    <w:rPr>
      <w:rFonts w:ascii="Calibri" w:hAnsi="Calibri" w:cs="Calibri"/>
      <w:lang w:val="en-US"/>
    </w:rPr>
  </w:style>
  <w:style w:type="paragraph" w:styleId="Listenabsatz">
    <w:name w:val="List Paragraph"/>
    <w:basedOn w:val="Standard"/>
    <w:uiPriority w:val="1"/>
    <w:qFormat/>
    <w:pPr>
      <w:widowControl w:val="0"/>
      <w:autoSpaceDE w:val="0"/>
      <w:autoSpaceDN w:val="0"/>
      <w:spacing w:after="0" w:line="240" w:lineRule="auto"/>
    </w:pPr>
    <w:rPr>
      <w:rFonts w:ascii="Calibri" w:hAnsi="Calibri" w:cs="Calibri"/>
      <w:lang w:val="en-US"/>
    </w:rPr>
  </w:style>
  <w:style w:type="paragraph" w:customStyle="1" w:styleId="TableParagraph">
    <w:name w:val="Table Paragraph"/>
    <w:basedOn w:val="Standard"/>
    <w:uiPriority w:val="1"/>
    <w:qFormat/>
    <w:pPr>
      <w:widowControl w:val="0"/>
      <w:autoSpaceDE w:val="0"/>
      <w:autoSpaceDN w:val="0"/>
      <w:spacing w:after="0" w:line="152" w:lineRule="exact"/>
      <w:ind w:left="50"/>
    </w:pPr>
    <w:rPr>
      <w:rFonts w:ascii="Calibri" w:hAnsi="Calibri" w:cs="Calibri"/>
      <w:lang w:val="en-US"/>
    </w:rPr>
  </w:style>
  <w:style w:type="paragraph" w:styleId="Kopfzeile">
    <w:name w:val="header"/>
    <w:basedOn w:val="Standard"/>
    <w:link w:val="KopfzeileZchn"/>
    <w:uiPriority w:val="99"/>
    <w:unhideWhenUsed/>
    <w:rsid w:val="000471AF"/>
    <w:pPr>
      <w:widowControl w:val="0"/>
      <w:tabs>
        <w:tab w:val="center" w:pos="4536"/>
        <w:tab w:val="right" w:pos="9072"/>
      </w:tabs>
      <w:autoSpaceDE w:val="0"/>
      <w:autoSpaceDN w:val="0"/>
      <w:spacing w:after="0" w:line="240" w:lineRule="auto"/>
    </w:pPr>
    <w:rPr>
      <w:rFonts w:ascii="Calibri" w:hAnsi="Calibri" w:cs="Calibri"/>
      <w:lang w:val="en-US"/>
    </w:rPr>
  </w:style>
  <w:style w:type="character" w:customStyle="1" w:styleId="KopfzeileZchn">
    <w:name w:val="Kopfzeile Zchn"/>
    <w:basedOn w:val="Absatz-Standardschriftart"/>
    <w:link w:val="Kopfzeile"/>
    <w:uiPriority w:val="99"/>
    <w:rsid w:val="000471AF"/>
    <w:rPr>
      <w:rFonts w:ascii="Calibri" w:eastAsia="Calibri" w:hAnsi="Calibri" w:cs="Calibri"/>
    </w:rPr>
  </w:style>
  <w:style w:type="paragraph" w:styleId="Fuzeile">
    <w:name w:val="footer"/>
    <w:basedOn w:val="Standard"/>
    <w:link w:val="FuzeileZchn"/>
    <w:uiPriority w:val="99"/>
    <w:unhideWhenUsed/>
    <w:rsid w:val="000471AF"/>
    <w:pPr>
      <w:widowControl w:val="0"/>
      <w:tabs>
        <w:tab w:val="center" w:pos="4536"/>
        <w:tab w:val="right" w:pos="9072"/>
      </w:tabs>
      <w:autoSpaceDE w:val="0"/>
      <w:autoSpaceDN w:val="0"/>
      <w:spacing w:after="0" w:line="240" w:lineRule="auto"/>
    </w:pPr>
    <w:rPr>
      <w:rFonts w:ascii="Calibri" w:hAnsi="Calibri" w:cs="Calibri"/>
      <w:lang w:val="en-US"/>
    </w:rPr>
  </w:style>
  <w:style w:type="character" w:customStyle="1" w:styleId="FuzeileZchn">
    <w:name w:val="Fußzeile Zchn"/>
    <w:basedOn w:val="Absatz-Standardschriftart"/>
    <w:link w:val="Fuzeile"/>
    <w:uiPriority w:val="99"/>
    <w:rsid w:val="000471AF"/>
    <w:rPr>
      <w:rFonts w:ascii="Calibri" w:eastAsia="Calibri" w:hAnsi="Calibri" w:cs="Calibri"/>
    </w:rPr>
  </w:style>
  <w:style w:type="character" w:styleId="Platzhaltertext">
    <w:name w:val="Placeholder Text"/>
    <w:basedOn w:val="Absatz-Standardschriftart"/>
    <w:uiPriority w:val="99"/>
    <w:semiHidden/>
    <w:rsid w:val="00CF4936"/>
    <w:rPr>
      <w:color w:val="808080"/>
    </w:rPr>
  </w:style>
  <w:style w:type="table" w:styleId="Tabellenraster">
    <w:name w:val="Table Grid"/>
    <w:basedOn w:val="NormaleTabelle"/>
    <w:uiPriority w:val="39"/>
    <w:rsid w:val="006245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A6C76"/>
    <w:rPr>
      <w:color w:val="0000FF" w:themeColor="hyperlink"/>
      <w:u w:val="single"/>
    </w:rPr>
  </w:style>
  <w:style w:type="paragraph" w:customStyle="1" w:styleId="Default">
    <w:name w:val="Default"/>
    <w:rsid w:val="00C77E81"/>
    <w:pPr>
      <w:widowControl/>
      <w:adjustRightInd w:val="0"/>
    </w:pPr>
    <w:rPr>
      <w:color w:val="000000"/>
      <w:sz w:val="24"/>
      <w:szCs w:val="24"/>
      <w:lang w:val="de-DE"/>
    </w:rPr>
  </w:style>
  <w:style w:type="character" w:styleId="NichtaufgelsteErwhnung">
    <w:name w:val="Unresolved Mention"/>
    <w:basedOn w:val="Absatz-Standardschriftart"/>
    <w:uiPriority w:val="99"/>
    <w:semiHidden/>
    <w:unhideWhenUsed/>
    <w:rsid w:val="0045689E"/>
    <w:rPr>
      <w:color w:val="605E5C"/>
      <w:shd w:val="clear" w:color="auto" w:fill="E1DFDD"/>
    </w:rPr>
  </w:style>
  <w:style w:type="paragraph" w:styleId="StandardWeb">
    <w:name w:val="Normal (Web)"/>
    <w:basedOn w:val="Standard"/>
    <w:uiPriority w:val="99"/>
    <w:unhideWhenUsed/>
    <w:rsid w:val="004E0C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BC6342"/>
    <w:rPr>
      <w:color w:val="800080" w:themeColor="followedHyperlink"/>
      <w:u w:val="single"/>
    </w:rPr>
  </w:style>
  <w:style w:type="character" w:styleId="Fett">
    <w:name w:val="Strong"/>
    <w:basedOn w:val="Absatz-Standardschriftart"/>
    <w:uiPriority w:val="22"/>
    <w:qFormat/>
    <w:rsid w:val="00601B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2767062">
      <w:bodyDiv w:val="1"/>
      <w:marLeft w:val="0"/>
      <w:marRight w:val="0"/>
      <w:marTop w:val="0"/>
      <w:marBottom w:val="0"/>
      <w:divBdr>
        <w:top w:val="none" w:sz="0" w:space="0" w:color="auto"/>
        <w:left w:val="none" w:sz="0" w:space="0" w:color="auto"/>
        <w:bottom w:val="none" w:sz="0" w:space="0" w:color="auto"/>
        <w:right w:val="none" w:sz="0" w:space="0" w:color="auto"/>
      </w:divBdr>
    </w:div>
    <w:div w:id="1914389363">
      <w:bodyDiv w:val="1"/>
      <w:marLeft w:val="0"/>
      <w:marRight w:val="0"/>
      <w:marTop w:val="0"/>
      <w:marBottom w:val="0"/>
      <w:divBdr>
        <w:top w:val="none" w:sz="0" w:space="0" w:color="auto"/>
        <w:left w:val="none" w:sz="0" w:space="0" w:color="auto"/>
        <w:bottom w:val="none" w:sz="0" w:space="0" w:color="auto"/>
        <w:right w:val="none" w:sz="0" w:space="0" w:color="auto"/>
      </w:divBdr>
    </w:div>
    <w:div w:id="2063282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regupol.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regupol.com" TargetMode="External"/><Relationship Id="rId1" Type="http://schemas.openxmlformats.org/officeDocument/2006/relationships/hyperlink" Target="mailto:info@regup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F49EF-637C-40B7-9C55-692C476A2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4435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Microsoft Word - Anschreiben mit Logo - Kopie (2).docx</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Anschreiben mit Logo - Kopie (2).docx</dc:title>
  <dc:creator>Klein, Sarah-Madlin</dc:creator>
  <cp:lastModifiedBy>Znischol, Selina</cp:lastModifiedBy>
  <cp:revision>2</cp:revision>
  <cp:lastPrinted>2020-11-20T07:14:00Z</cp:lastPrinted>
  <dcterms:created xsi:type="dcterms:W3CDTF">2024-10-09T06:04:00Z</dcterms:created>
  <dcterms:modified xsi:type="dcterms:W3CDTF">2024-10-09T06:04:00Z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2019-07-19T00:00:00Z</vt:filetime>
  </property>
  <property fmtid="{D5CDD505-2E9C-101B-9397-08002B2CF9AE}" pid="3" name="Creator">
    <vt:lpwstr>PDF24 Creator</vt:lpwstr>
  </property>
  <property fmtid="{D5CDD505-2E9C-101B-9397-08002B2CF9AE}" pid="4" name="LastSaved">
    <vt:filetime>2019-07-19T00:00:00Z</vt:filetime>
  </property>
</Properties>
</file>